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D2464">
      <w:pPr>
        <w:pStyle w:val="4"/>
        <w:spacing w:before="312" w:after="312"/>
        <w:jc w:val="left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Supplementary Table 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Sensitivity analysis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tbl>
      <w:tblPr>
        <w:tblStyle w:val="2"/>
        <w:tblW w:w="8579" w:type="dxa"/>
        <w:tblInd w:w="8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726"/>
        <w:gridCol w:w="774"/>
        <w:gridCol w:w="1763"/>
        <w:gridCol w:w="791"/>
        <w:gridCol w:w="1736"/>
        <w:gridCol w:w="778"/>
      </w:tblGrid>
      <w:tr w14:paraId="70C8AD20">
        <w:trPr>
          <w:trHeight w:val="336" w:hRule="atLeast"/>
        </w:trPr>
        <w:tc>
          <w:tcPr>
            <w:tcW w:w="1011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6B29F8DA">
            <w:pP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443CABF2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≤6 h (n=838)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669D3A34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≤12 h (n=1058)</w:t>
            </w:r>
          </w:p>
        </w:tc>
        <w:tc>
          <w:tcPr>
            <w:tcW w:w="2514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38CECE2F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≤24 h (n=1189)</w:t>
            </w:r>
          </w:p>
        </w:tc>
      </w:tr>
      <w:tr w14:paraId="089296CB">
        <w:trPr>
          <w:trHeight w:val="336" w:hRule="atLeast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DA68C79">
            <w:pP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967F4B8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OR/HR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4240CDE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i/>
                <w:iCs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Style w:val="5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60E41D7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OR/HR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C00C0DB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i/>
                <w:iCs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Style w:val="5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3F34CAD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OR/HR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7D16EC1">
            <w:pPr>
              <w:jc w:val="center"/>
              <w:textAlignment w:val="center"/>
              <w:rPr>
                <w:rFonts w:ascii="Times New Roman Bold" w:hAnsi="Times New Roman Bold" w:eastAsia="Times New Roman Bold" w:cs="Times New Roman Bold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i/>
                <w:iCs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Style w:val="5"/>
                <w:color w:val="000000" w:themeColor="text1"/>
                <w:lang w:bidi="ar"/>
                <w14:textFill>
                  <w14:solidFill>
                    <w14:schemeClr w14:val="tx1"/>
                  </w14:solidFill>
                </w14:textFill>
              </w:rPr>
              <w:t>-value</w:t>
            </w:r>
          </w:p>
        </w:tc>
      </w:tr>
      <w:tr w14:paraId="3C6C19AF">
        <w:trPr>
          <w:trHeight w:val="336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F9174">
            <w:pPr>
              <w:jc w:val="left"/>
              <w:textAlignment w:val="center"/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90-day unfavorable functional outcome, OR (95% CI)</w:t>
            </w:r>
          </w:p>
        </w:tc>
      </w:tr>
      <w:tr w14:paraId="05AE37CC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222DF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A085C0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375 (44.</w:t>
            </w:r>
            <w:r>
              <w:rPr>
                <w:rFonts w:hint="eastAsia" w:ascii="Times New Roman Regular" w:hAnsi="Times New Roman Regular" w:cs="Times New Roman Regular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7EE30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9A6A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474 (44.8)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BB1EE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5E010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516 (43.4)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18F2A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F5F7EF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F320E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FE542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1.179 (1.131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1.228)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AC1DB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8BE732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1.174 (1.132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1391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8E01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1.171 (1.132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6A4C1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2457739C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53CC1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8830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1.187 (1.139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8090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FFF93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1.185 (1.142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1.230)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85D0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543F0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1.185 (1.144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1.227)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C0DB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14E1AD3A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AF5BF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2849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1.077 (1.019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9482E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E6B5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1.078 (1.027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1.131)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82AB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B86F9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1.078 (1.030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1.129)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5C5CB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0.001 </w:t>
            </w:r>
          </w:p>
        </w:tc>
      </w:tr>
      <w:tr w14:paraId="4A8A8274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F518E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8730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1.086 (1.026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0AC9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A7579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1.087 (1.034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9819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D679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1.088 (1.037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B7DEC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0.001 </w:t>
            </w:r>
          </w:p>
        </w:tc>
      </w:tr>
      <w:tr w14:paraId="3753DF3F">
        <w:trPr>
          <w:trHeight w:val="336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BB6D10">
            <w:pPr>
              <w:jc w:val="left"/>
              <w:textAlignment w:val="center"/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1-year unfavorable functional outcome, OR (95% CI)</w:t>
            </w:r>
          </w:p>
        </w:tc>
      </w:tr>
      <w:tr w14:paraId="66DD3BDC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844F6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A595F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305 (36.4)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F380B4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9D6882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389 (36.</w:t>
            </w:r>
            <w:r>
              <w:rPr>
                <w:rFonts w:hint="eastAsia" w:ascii="Times New Roman Regular" w:hAnsi="Times New Roman Regular" w:eastAsia="宋体" w:cs="Times New Roman Regular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F2B74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2CE0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426 (35.8)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D6573B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110E19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E676C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287C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1.162 (1.117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FCC9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7801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1.162 (1.122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A9D2B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4C6326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1.156 (1.119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46B3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34E45959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679A5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5A15B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1.175 (1.128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1.225)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C07FC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1B25EB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1.179 (1.137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1.223)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A53E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1B33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1.177 (1.136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1.218)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506D8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13B17916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6CBF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CA4D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1.059 (1.004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BC01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A4135C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1.065 (1.015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7795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465B3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1.068 (1.021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7173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0.005 </w:t>
            </w:r>
          </w:p>
        </w:tc>
      </w:tr>
      <w:tr w14:paraId="09AC4E56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F0302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3182E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1.071 (1.012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1.132)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355E2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28948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1.078 (1.026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1.132)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96240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B1BF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1.081 (1.031</w:t>
            </w:r>
            <w:r>
              <w:rPr>
                <w:rFonts w:hint="eastAsia"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–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1.133)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C05EE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0.001 </w:t>
            </w:r>
          </w:p>
        </w:tc>
      </w:tr>
      <w:tr w14:paraId="3EFBE780">
        <w:trPr>
          <w:trHeight w:val="336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5E8AC">
            <w:pPr>
              <w:jc w:val="left"/>
              <w:textAlignment w:val="center"/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90-day all-cause mortality, HR (95% CI)</w:t>
            </w:r>
          </w:p>
        </w:tc>
      </w:tr>
      <w:tr w14:paraId="62FBE037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CEB3F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9B03E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197 (23.5)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B2AFE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D1E7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244 (23.</w:t>
            </w:r>
            <w:r>
              <w:rPr>
                <w:rFonts w:hint="eastAsia" w:ascii="Times New Roman Regular" w:hAnsi="Times New Roman Regular" w:eastAsia="宋体" w:cs="Times New Roman Regular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6FDBF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1508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261 (2</w:t>
            </w:r>
            <w:r>
              <w:rPr>
                <w:rFonts w:hint="eastAsia" w:ascii="Times New Roman Regular" w:hAnsi="Times New Roman Regular" w:eastAsia="宋体" w:cs="Times New Roman Regular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</w:t>
            </w: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BBB4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CB4218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586F4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72AD6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1.143 (1.111–1.175)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338AB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1EBA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1.151 (1.123–1.180)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FA8FAE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6E58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1.151 (1.124–1.180)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FFAF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51F588A4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3A2A8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3DE5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1.143 (1.111–1.176)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4E11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BAEAE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1.153 (1.124–1.183)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9310F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C0336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1.155 (1.127–1.184)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404B6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6AB4FE08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7E334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423C0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1.027 (0.995–1.060)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C38C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0.102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9AA3FF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1.034 (1.006–1.064)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263F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133D9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1.035 (1.008–1.064)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EEC1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0.011 </w:t>
            </w:r>
          </w:p>
        </w:tc>
      </w:tr>
      <w:tr w14:paraId="0E60DC03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26F85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FD096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1.037 (1.005–1.071)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E5DD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35F4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1.041 (1.012–1.070)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AAA346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679B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1.044 (1.016–1.072)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B9222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0.002 </w:t>
            </w:r>
          </w:p>
        </w:tc>
      </w:tr>
      <w:tr w14:paraId="5325B4ED">
        <w:trPr>
          <w:trHeight w:val="336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51364">
            <w:pPr>
              <w:jc w:val="left"/>
              <w:textAlignment w:val="center"/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Bold" w:hAnsi="Times New Roman Bold" w:eastAsia="Times New Roman Bold" w:cs="Times New Roman Bold"/>
                <w:b/>
                <w:bCs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1-year all-cause mortality, HR (95% CI)</w:t>
            </w:r>
          </w:p>
        </w:tc>
      </w:tr>
      <w:tr w14:paraId="14B796E9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ABA84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F252A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223 (26.6)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A0F22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3813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284 (26.8)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0EA2D">
            <w:pPr>
              <w:jc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4C05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308 (25.9)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3134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1A10A7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535BE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BB6B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1.137 (1.107-1.168)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CFAD2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F258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1.140 (1.113–1.168)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0753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D23B5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1.141 (1.114–1.168)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FAC19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1575E25F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D9AC8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7A26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1.141 (1.110–1.172)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E28A8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A6357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1.145 (1.117–1.173)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81BDD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C0A7D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1.148 (1.121–1.176)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0B3826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 w14:paraId="21E42702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A24CF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31248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1.027 (0.996–1.058)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14261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C3E3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1.032 (1.005–1.061)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B4F39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B090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1.037 (1.011–1.064)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5809F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0.006 </w:t>
            </w:r>
          </w:p>
        </w:tc>
      </w:tr>
      <w:tr w14:paraId="68ECB458">
        <w:trPr>
          <w:trHeight w:val="336" w:hRule="atLeast"/>
        </w:trPr>
        <w:tc>
          <w:tcPr>
            <w:tcW w:w="1011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48B949FF">
            <w:pPr>
              <w:jc w:val="left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Model 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758A66A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1.036 (1.005–1.068)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EF4DDC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0.022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2EC76F4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1.039 (1.012–1.068)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49C44E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A0B6E8F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1.045 (1.018–1.072)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39D69B3">
            <w:pPr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Times New Roman Regular" w:cs="Times New Roman Regular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</w:tbl>
    <w:p w14:paraId="5BCF7646">
      <w:pPr>
        <w:pStyle w:val="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Model 1: Unadjusted;</w:t>
      </w:r>
    </w:p>
    <w:p w14:paraId="40F94142">
      <w:pPr>
        <w:pStyle w:val="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Model 2: Adjusted for age and sex;</w:t>
      </w:r>
    </w:p>
    <w:p w14:paraId="3549550C">
      <w:pPr>
        <w:pStyle w:val="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Model 3: Adjusted for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variables in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odel 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plus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smoking, alcohol intake, medical history (hypertension, diabetes mellitus, dyslipidemia, ischemic stroke, myocardial infarction), modified Rankin Scale score before onset, admission Glasgow Coma Scale, location of hematoma, hematoma volume, i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>ntraventricular extension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 w14:paraId="59507F8E">
      <w:pPr>
        <w:rPr>
          <w:rFonts w:ascii="Times New Roman" w:hAnsi="Times New Roman"/>
          <w:color w:val="000000" w:themeColor="text1"/>
          <w:sz w:val="21"/>
          <w:szCs w:val="21"/>
          <w:lang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1"/>
          <w:szCs w:val="21"/>
          <w:lang w:bidi="en-US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 w:eastAsia="Times New Roman"/>
          <w:color w:val="000000" w:themeColor="text1"/>
          <w:sz w:val="21"/>
          <w:szCs w:val="21"/>
          <w:lang w:eastAsia="de-DE" w:bidi="en-US"/>
          <w14:textFill>
            <w14:solidFill>
              <w14:schemeClr w14:val="tx1"/>
            </w14:solidFill>
          </w14:textFill>
        </w:rPr>
        <w:t xml:space="preserve">odel </w:t>
      </w:r>
      <w:r>
        <w:rPr>
          <w:rFonts w:hint="eastAsia" w:ascii="Times New Roman" w:hAnsi="Times New Roman"/>
          <w:color w:val="000000" w:themeColor="text1"/>
          <w:sz w:val="21"/>
          <w:szCs w:val="21"/>
          <w:lang w:bidi="en-US"/>
          <w14:textFill>
            <w14:solidFill>
              <w14:schemeClr w14:val="tx1"/>
            </w14:solidFill>
          </w14:textFill>
        </w:rPr>
        <w:t xml:space="preserve">4: Adjusted for variables in </w:t>
      </w:r>
      <w:r>
        <w:rPr>
          <w:rFonts w:hint="eastAsia" w:ascii="Times New Roman" w:hAnsi="Times New Roman"/>
          <w:color w:val="000000" w:themeColor="text1"/>
          <w:sz w:val="21"/>
          <w:szCs w:val="21"/>
          <w:lang w:val="en-US" w:eastAsia="zh-CN" w:bidi="en-US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Times New Roman" w:hAnsi="Times New Roman"/>
          <w:color w:val="000000" w:themeColor="text1"/>
          <w:sz w:val="21"/>
          <w:szCs w:val="21"/>
          <w:lang w:bidi="en-US"/>
          <w14:textFill>
            <w14:solidFill>
              <w14:schemeClr w14:val="tx1"/>
            </w14:solidFill>
          </w14:textFill>
        </w:rPr>
        <w:t xml:space="preserve">odel 3 plus in-hospital medications (antihypertensive agents, antidiabetic agents, lipid-lowering agents). </w:t>
      </w:r>
    </w:p>
    <w:p w14:paraId="003A4E65">
      <w:pPr>
        <w:pStyle w:val="6"/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Times New Roman Regular"/>
          <w:color w:val="000000" w:themeColor="text1"/>
          <w:lang w:bidi="ar"/>
          <w14:textFill>
            <w14:solidFill>
              <w14:schemeClr w14:val="tx1"/>
            </w14:solidFill>
          </w14:textFill>
        </w:rPr>
        <w:t xml:space="preserve">Abbreviations: CI, confidence interval; </w:t>
      </w:r>
      <w:r>
        <w:rPr>
          <w:rFonts w:hint="eastAsia" w:eastAsia="宋体"/>
          <w:color w:val="000000" w:themeColor="text1"/>
          <w:lang w:eastAsia="zh-CN" w:bidi="ar"/>
          <w14:textFill>
            <w14:solidFill>
              <w14:schemeClr w14:val="tx1"/>
            </w14:solidFill>
          </w14:textFill>
        </w:rPr>
        <w:t>HR, hazard ratio;</w:t>
      </w:r>
      <w:r>
        <w:rPr>
          <w:rFonts w:hint="eastAsia" w:eastAsia="宋体"/>
          <w:color w:val="000000" w:themeColor="text1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Times New Roman Regular"/>
          <w:color w:val="000000" w:themeColor="text1"/>
          <w:lang w:bidi="ar"/>
          <w14:textFill>
            <w14:solidFill>
              <w14:schemeClr w14:val="tx1"/>
            </w14:solidFill>
          </w14:textFill>
        </w:rPr>
        <w:t>OR, odds ratio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>.</w:t>
      </w:r>
    </w:p>
    <w:p w14:paraId="57DE2A1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altName w:val="苹方-简"/>
    <w:panose1 w:val="02040502050505030304"/>
    <w:charset w:val="00"/>
    <w:family w:val="roman"/>
    <w:pitch w:val="default"/>
    <w:sig w:usb0="00000000" w:usb1="00000000" w:usb2="00000000" w:usb3="00000000" w:csb0="0000019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FDC926"/>
    <w:rsid w:val="0018788D"/>
    <w:rsid w:val="00713C55"/>
    <w:rsid w:val="007C570B"/>
    <w:rsid w:val="00AA53FB"/>
    <w:rsid w:val="5FF79967"/>
    <w:rsid w:val="7CA78AC4"/>
    <w:rsid w:val="7DB70621"/>
    <w:rsid w:val="A7FFDCA4"/>
    <w:rsid w:val="BFEA9437"/>
    <w:rsid w:val="F7FDC926"/>
    <w:rsid w:val="FF77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6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caption"/>
    <w:qFormat/>
    <w:uiPriority w:val="11"/>
    <w:pPr>
      <w:adjustRightInd w:val="0"/>
      <w:snapToGrid w:val="0"/>
      <w:spacing w:before="100" w:beforeLines="100" w:after="100" w:afterLines="100"/>
      <w:jc w:val="center"/>
    </w:pPr>
    <w:rPr>
      <w:rFonts w:ascii="Times New Roman" w:hAnsi="Times New Roman" w:eastAsia="Times New Roman" w:cs="Times New Roman"/>
      <w:b/>
      <w:color w:val="000000"/>
      <w:sz w:val="21"/>
      <w:szCs w:val="24"/>
      <w:lang w:val="en-US" w:eastAsia="zh-CN" w:bidi="en-US"/>
    </w:rPr>
  </w:style>
  <w:style w:type="character" w:customStyle="1" w:styleId="5">
    <w:name w:val="font11"/>
    <w:basedOn w:val="3"/>
    <w:uiPriority w:val="0"/>
    <w:rPr>
      <w:rFonts w:hint="default" w:ascii="Times New Roman Bold" w:hAnsi="Times New Roman Bold" w:eastAsia="Times New Roman Bold" w:cs="Times New Roman Bold"/>
      <w:color w:val="000000"/>
      <w:sz w:val="18"/>
      <w:szCs w:val="18"/>
      <w:u w:val="none"/>
    </w:rPr>
  </w:style>
  <w:style w:type="paragraph" w:customStyle="1" w:styleId="6">
    <w:name w:val="Table footer"/>
    <w:next w:val="1"/>
    <w:qFormat/>
    <w:uiPriority w:val="12"/>
    <w:pPr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7">
    <w:name w:val="Revision"/>
    <w:hidden/>
    <w:unhideWhenUsed/>
    <w:uiPriority w:val="99"/>
    <w:rPr>
      <w:rFonts w:ascii="Palatino Linotype" w:hAnsi="Palatino Linotype" w:eastAsia="宋体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2159</Characters>
  <Lines>17</Lines>
  <Paragraphs>5</Paragraphs>
  <TotalTime>6</TotalTime>
  <ScaleCrop>false</ScaleCrop>
  <LinksUpToDate>false</LinksUpToDate>
  <CharactersWithSpaces>2532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2026-02-09T19:09:00Z</dcterms:created>
  <dc:creator>鲁棒</dc:creator>
  <cp:lastModifiedBy>鲁棒</cp:lastModifiedBy>
  <dcterms:modified xsi:type="dcterms:W3CDTF">2026-05-31T20:51:31Z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3DF1661A4B41C42D7C1D87692EA84AE2_41</vt:lpwstr>
  </property>
</Properties>
</file>